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B401A" w14:textId="22D2DD67" w:rsidR="00AB587C" w:rsidRDefault="00095396" w:rsidP="00DE34CE">
      <w:pPr>
        <w:jc w:val="center"/>
        <w:rPr>
          <w:b/>
          <w:bCs/>
        </w:rPr>
      </w:pPr>
      <w:r>
        <w:rPr>
          <w:b/>
          <w:bCs/>
          <w:highlight w:val="yellow"/>
        </w:rPr>
        <w:t>[</w:t>
      </w:r>
      <w:r w:rsidR="00AB587C" w:rsidRPr="00A70EA3">
        <w:rPr>
          <w:b/>
          <w:bCs/>
          <w:highlight w:val="yellow"/>
        </w:rPr>
        <w:t>NOM DE L’ETABLISSEMENT</w:t>
      </w:r>
      <w:r>
        <w:rPr>
          <w:b/>
          <w:bCs/>
        </w:rPr>
        <w:t>]</w:t>
      </w:r>
    </w:p>
    <w:p w14:paraId="018E08BB" w14:textId="38BDD258" w:rsidR="00C07914" w:rsidRPr="00DE5901" w:rsidRDefault="00DE5901" w:rsidP="00DE34CE">
      <w:pPr>
        <w:jc w:val="center"/>
        <w:rPr>
          <w:b/>
          <w:bCs/>
        </w:rPr>
      </w:pPr>
      <w:r w:rsidRPr="00DE5901">
        <w:rPr>
          <w:b/>
          <w:bCs/>
        </w:rPr>
        <w:t xml:space="preserve">DECISION N° </w:t>
      </w:r>
      <w:r w:rsidR="00FA4573" w:rsidRPr="00A70EA3">
        <w:rPr>
          <w:b/>
          <w:bCs/>
          <w:highlight w:val="yellow"/>
        </w:rPr>
        <w:t>20</w:t>
      </w:r>
      <w:r w:rsidRPr="00A70EA3">
        <w:rPr>
          <w:b/>
          <w:bCs/>
          <w:highlight w:val="yellow"/>
        </w:rPr>
        <w:t>XX</w:t>
      </w:r>
      <w:r w:rsidR="00FA4573" w:rsidRPr="00A70EA3">
        <w:rPr>
          <w:b/>
          <w:bCs/>
          <w:highlight w:val="yellow"/>
        </w:rPr>
        <w:t>-X</w:t>
      </w:r>
      <w:r w:rsidRPr="00A70EA3">
        <w:rPr>
          <w:b/>
          <w:bCs/>
          <w:highlight w:val="yellow"/>
        </w:rPr>
        <w:t>XX</w:t>
      </w:r>
    </w:p>
    <w:p w14:paraId="43E324D0" w14:textId="4EAD1CC8" w:rsidR="00DE5901" w:rsidRDefault="00DE5901" w:rsidP="00DE34CE">
      <w:pPr>
        <w:jc w:val="center"/>
        <w:rPr>
          <w:b/>
          <w:bCs/>
        </w:rPr>
      </w:pPr>
      <w:r w:rsidRPr="00DE5901">
        <w:rPr>
          <w:b/>
          <w:bCs/>
        </w:rPr>
        <w:t>PORTANT BENEFICE DE LA PERIODE DE PREPARATION AU RECLASSEMENT</w:t>
      </w:r>
    </w:p>
    <w:p w14:paraId="6236084F" w14:textId="77777777" w:rsidR="00935752" w:rsidRPr="00DE5901" w:rsidRDefault="00935752" w:rsidP="009E28F9">
      <w:pPr>
        <w:jc w:val="both"/>
        <w:rPr>
          <w:b/>
          <w:bCs/>
        </w:rPr>
      </w:pPr>
    </w:p>
    <w:p w14:paraId="47E1F0CB" w14:textId="43E59095" w:rsidR="00FA4573" w:rsidRDefault="00935752" w:rsidP="009E28F9">
      <w:pPr>
        <w:jc w:val="both"/>
        <w:rPr>
          <w:b/>
          <w:bCs/>
        </w:rPr>
      </w:pPr>
      <w:r w:rsidRPr="003565DD">
        <w:rPr>
          <w:b/>
          <w:bCs/>
          <w:highlight w:val="yellow"/>
        </w:rPr>
        <w:t>LA. LE</w:t>
      </w:r>
      <w:r>
        <w:rPr>
          <w:b/>
          <w:bCs/>
        </w:rPr>
        <w:t xml:space="preserve"> </w:t>
      </w:r>
      <w:r w:rsidRPr="00FA4573">
        <w:rPr>
          <w:b/>
          <w:bCs/>
        </w:rPr>
        <w:t>DIRECTEUR</w:t>
      </w:r>
      <w:r>
        <w:rPr>
          <w:b/>
          <w:bCs/>
        </w:rPr>
        <w:t>,</w:t>
      </w:r>
    </w:p>
    <w:p w14:paraId="58E86A30" w14:textId="77777777" w:rsidR="00935752" w:rsidRDefault="00935752" w:rsidP="009E28F9">
      <w:pPr>
        <w:jc w:val="both"/>
      </w:pPr>
    </w:p>
    <w:p w14:paraId="368FFEEF" w14:textId="50A59195" w:rsidR="00DE5901" w:rsidRDefault="00DE5901" w:rsidP="009E28F9">
      <w:pPr>
        <w:jc w:val="both"/>
      </w:pPr>
      <w:r w:rsidRPr="00FA4573">
        <w:rPr>
          <w:b/>
          <w:bCs/>
        </w:rPr>
        <w:t>Vu</w:t>
      </w:r>
      <w:r>
        <w:t xml:space="preserve"> le code général de la fonction publique, et notamment l’article </w:t>
      </w:r>
      <w:r w:rsidRPr="00DE5901">
        <w:t>L</w:t>
      </w:r>
      <w:r w:rsidR="00FA4573">
        <w:t xml:space="preserve">. </w:t>
      </w:r>
      <w:r w:rsidRPr="00DE5901">
        <w:t>826-2</w:t>
      </w:r>
      <w:r>
        <w:t> ;</w:t>
      </w:r>
    </w:p>
    <w:p w14:paraId="0F23C9FE" w14:textId="17357A84" w:rsidR="00DE5901" w:rsidRDefault="00DE5901" w:rsidP="009E28F9">
      <w:pPr>
        <w:jc w:val="both"/>
      </w:pPr>
      <w:r w:rsidRPr="00FA4573">
        <w:rPr>
          <w:b/>
          <w:bCs/>
        </w:rPr>
        <w:t>Vu</w:t>
      </w:r>
      <w:r>
        <w:t xml:space="preserve"> le décret </w:t>
      </w:r>
      <w:r w:rsidRPr="00DE5901">
        <w:t>n°88-386 du 19 avril 1988 relatif aux conditions d'aptitude physique et aux congés de maladie des agents de la fonction publique hospitalière</w:t>
      </w:r>
      <w:r>
        <w:t> ;</w:t>
      </w:r>
    </w:p>
    <w:p w14:paraId="6CB1149D" w14:textId="0EB65C6B" w:rsidR="00DE5901" w:rsidRDefault="00DE5901" w:rsidP="009E28F9">
      <w:pPr>
        <w:jc w:val="both"/>
      </w:pPr>
      <w:r w:rsidRPr="00FA4573">
        <w:rPr>
          <w:b/>
          <w:bCs/>
        </w:rPr>
        <w:t>Vu</w:t>
      </w:r>
      <w:r>
        <w:t xml:space="preserve"> le décret </w:t>
      </w:r>
      <w:r w:rsidRPr="00DE5901">
        <w:t>n°89-376 du 8 juin 1989 relatif au reclassement des fonctionnaires hospitaliers reconnus inaptes à l'exercice de leurs fonction</w:t>
      </w:r>
      <w:r>
        <w:t>s ;</w:t>
      </w:r>
    </w:p>
    <w:p w14:paraId="47923DD0" w14:textId="4AE9C607" w:rsidR="009A6196" w:rsidRDefault="009A6196" w:rsidP="009E28F9">
      <w:pPr>
        <w:jc w:val="both"/>
        <w:rPr>
          <w:b/>
          <w:bCs/>
        </w:rPr>
      </w:pPr>
      <w:r>
        <w:rPr>
          <w:b/>
          <w:bCs/>
        </w:rPr>
        <w:t>Considérant</w:t>
      </w:r>
      <w:bookmarkStart w:id="0" w:name="_Hlk213936046"/>
      <w:r>
        <w:rPr>
          <w:b/>
          <w:bCs/>
        </w:rPr>
        <w:t xml:space="preserve"> </w:t>
      </w:r>
      <w:r w:rsidRPr="009A6196">
        <w:t xml:space="preserve">l’avis </w:t>
      </w:r>
      <w:r>
        <w:t xml:space="preserve">du médecin agréé en date du </w:t>
      </w:r>
      <w:r w:rsidRPr="00935752">
        <w:rPr>
          <w:highlight w:val="yellow"/>
        </w:rPr>
        <w:t>xxx</w:t>
      </w:r>
      <w:r w:rsidRPr="00095396">
        <w:t>, pron</w:t>
      </w:r>
      <w:r>
        <w:t xml:space="preserve">onçant l’inaptitude définitive aux emplois du grade de </w:t>
      </w:r>
      <w:r w:rsidRPr="00FA4573">
        <w:rPr>
          <w:highlight w:val="yellow"/>
        </w:rPr>
        <w:t>Madame/Monsieur</w:t>
      </w:r>
      <w:r>
        <w:rPr>
          <w:highlight w:val="yellow"/>
        </w:rPr>
        <w:t xml:space="preserve"> </w:t>
      </w:r>
      <w:r w:rsidRPr="00935752">
        <w:rPr>
          <w:highlight w:val="yellow"/>
        </w:rPr>
        <w:t>xxx</w:t>
      </w:r>
      <w:r>
        <w:t xml:space="preserve"> au motif </w:t>
      </w:r>
      <w:r w:rsidRPr="00935752">
        <w:rPr>
          <w:highlight w:val="yellow"/>
        </w:rPr>
        <w:t>xxx</w:t>
      </w:r>
      <w:r>
        <w:t xml:space="preserve"> ;</w:t>
      </w:r>
    </w:p>
    <w:bookmarkEnd w:id="0"/>
    <w:p w14:paraId="014ED82E" w14:textId="2C485B7F" w:rsidR="00F86C51" w:rsidRDefault="00FA4573" w:rsidP="009E28F9">
      <w:pPr>
        <w:jc w:val="both"/>
      </w:pPr>
      <w:r>
        <w:rPr>
          <w:b/>
          <w:bCs/>
        </w:rPr>
        <w:t>Considérant</w:t>
      </w:r>
      <w:r w:rsidR="00DE5901">
        <w:t xml:space="preserve"> l’avis du </w:t>
      </w:r>
      <w:r w:rsidR="00935752">
        <w:t>C</w:t>
      </w:r>
      <w:r w:rsidR="00DE5901">
        <w:t>onseil médical en date du</w:t>
      </w:r>
      <w:r w:rsidR="00D33DC6">
        <w:t xml:space="preserve"> </w:t>
      </w:r>
      <w:r w:rsidR="00935752" w:rsidRPr="00935752">
        <w:rPr>
          <w:highlight w:val="yellow"/>
        </w:rPr>
        <w:t>xxx</w:t>
      </w:r>
      <w:r w:rsidR="00DE5901" w:rsidRPr="00095396">
        <w:t>, pron</w:t>
      </w:r>
      <w:r w:rsidR="00DE5901">
        <w:t xml:space="preserve">onçant l’inaptitude définitive aux emplois du grade de </w:t>
      </w:r>
      <w:r w:rsidR="00DE5901" w:rsidRPr="00FA4573">
        <w:rPr>
          <w:highlight w:val="yellow"/>
        </w:rPr>
        <w:t>Madame/Monsieur</w:t>
      </w:r>
      <w:r w:rsidR="00D33DC6">
        <w:rPr>
          <w:highlight w:val="yellow"/>
        </w:rPr>
        <w:t xml:space="preserve"> </w:t>
      </w:r>
      <w:r w:rsidR="00935752" w:rsidRPr="00935752">
        <w:rPr>
          <w:highlight w:val="yellow"/>
        </w:rPr>
        <w:t>xxx</w:t>
      </w:r>
      <w:r w:rsidR="00935752">
        <w:t xml:space="preserve"> au motif </w:t>
      </w:r>
      <w:r w:rsidR="00935752" w:rsidRPr="00935752">
        <w:rPr>
          <w:highlight w:val="yellow"/>
        </w:rPr>
        <w:t>xxx</w:t>
      </w:r>
      <w:r w:rsidR="009A6196">
        <w:t xml:space="preserve"> </w:t>
      </w:r>
      <w:r w:rsidR="002F06B2">
        <w:t>;</w:t>
      </w:r>
    </w:p>
    <w:p w14:paraId="1CD89837" w14:textId="52A1604A" w:rsidR="007D5F32" w:rsidRDefault="00935752" w:rsidP="009E28F9">
      <w:pPr>
        <w:jc w:val="both"/>
      </w:pPr>
      <w:r w:rsidRPr="00F86C51">
        <w:rPr>
          <w:b/>
          <w:bCs/>
        </w:rPr>
        <w:t>Considérant</w:t>
      </w:r>
      <w:r>
        <w:t xml:space="preserve"> que par courrier en date du </w:t>
      </w:r>
      <w:r w:rsidRPr="00935752">
        <w:rPr>
          <w:highlight w:val="yellow"/>
        </w:rPr>
        <w:t>xxx</w:t>
      </w:r>
      <w:r>
        <w:t xml:space="preserve">, réceptionné le </w:t>
      </w:r>
      <w:r w:rsidRPr="00935752">
        <w:rPr>
          <w:highlight w:val="yellow"/>
        </w:rPr>
        <w:t>xxx</w:t>
      </w:r>
      <w:r>
        <w:t xml:space="preserve">, </w:t>
      </w:r>
      <w:r w:rsidR="007D5F32">
        <w:t xml:space="preserve">auquel étaient joints les avis du médecin agréé et du Conseil médical susmentionnés, </w:t>
      </w:r>
      <w:r>
        <w:t xml:space="preserve">il a été proposé à </w:t>
      </w:r>
      <w:r w:rsidRPr="00F86C51">
        <w:rPr>
          <w:highlight w:val="yellow"/>
        </w:rPr>
        <w:t>Madame/Monsieur</w:t>
      </w:r>
      <w:r w:rsidRPr="00935752">
        <w:rPr>
          <w:highlight w:val="yellow"/>
        </w:rPr>
        <w:t xml:space="preserve"> xxx</w:t>
      </w:r>
      <w:r>
        <w:t xml:space="preserve"> une période de préparation au reclassement ;</w:t>
      </w:r>
    </w:p>
    <w:p w14:paraId="1EDF201A" w14:textId="77A84E20" w:rsidR="00DE5901" w:rsidRDefault="002F06B2" w:rsidP="009E28F9">
      <w:pPr>
        <w:jc w:val="both"/>
      </w:pPr>
      <w:r>
        <w:rPr>
          <w:b/>
          <w:bCs/>
        </w:rPr>
        <w:t>Considérant</w:t>
      </w:r>
      <w:r w:rsidR="00935752">
        <w:rPr>
          <w:b/>
          <w:bCs/>
        </w:rPr>
        <w:t xml:space="preserve"> </w:t>
      </w:r>
      <w:r w:rsidR="00935752">
        <w:t xml:space="preserve">que par </w:t>
      </w:r>
      <w:r w:rsidR="00DE5901">
        <w:t xml:space="preserve">courrier </w:t>
      </w:r>
      <w:r w:rsidR="00935752">
        <w:t xml:space="preserve">en date du </w:t>
      </w:r>
      <w:r w:rsidR="00935752" w:rsidRPr="00935752">
        <w:rPr>
          <w:highlight w:val="yellow"/>
        </w:rPr>
        <w:t>xxx</w:t>
      </w:r>
      <w:r w:rsidR="00935752">
        <w:t xml:space="preserve">, réceptionné le </w:t>
      </w:r>
      <w:r w:rsidR="00935752" w:rsidRPr="00935752">
        <w:rPr>
          <w:highlight w:val="yellow"/>
        </w:rPr>
        <w:t>xxx</w:t>
      </w:r>
      <w:r w:rsidR="00935752">
        <w:t xml:space="preserve">, </w:t>
      </w:r>
      <w:r w:rsidR="00DE5901" w:rsidRPr="00F86C51">
        <w:rPr>
          <w:highlight w:val="yellow"/>
        </w:rPr>
        <w:t>Madame/Monsieur</w:t>
      </w:r>
      <w:r w:rsidR="00935752" w:rsidRPr="00935752">
        <w:rPr>
          <w:highlight w:val="yellow"/>
        </w:rPr>
        <w:t xml:space="preserve"> xxx</w:t>
      </w:r>
      <w:r w:rsidR="00935752">
        <w:t xml:space="preserve"> a </w:t>
      </w:r>
      <w:r w:rsidR="004D075E">
        <w:t>répondu favorable</w:t>
      </w:r>
      <w:r w:rsidR="00473116">
        <w:t>ment</w:t>
      </w:r>
      <w:r w:rsidR="004D075E">
        <w:t xml:space="preserve"> à la proposition tendant à bénéficier </w:t>
      </w:r>
      <w:r w:rsidR="00DE5901">
        <w:t>d’une période de préparation au reclassement</w:t>
      </w:r>
      <w:r>
        <w:t>.</w:t>
      </w:r>
    </w:p>
    <w:p w14:paraId="74D87952" w14:textId="77777777" w:rsidR="00FA4573" w:rsidRDefault="00FA4573" w:rsidP="009E28F9">
      <w:pPr>
        <w:jc w:val="both"/>
      </w:pPr>
    </w:p>
    <w:p w14:paraId="41BC318C" w14:textId="5A65E11C" w:rsidR="00DE5901" w:rsidRPr="00DE5901" w:rsidRDefault="00DE5901" w:rsidP="009E28F9">
      <w:pPr>
        <w:jc w:val="both"/>
        <w:rPr>
          <w:b/>
          <w:bCs/>
        </w:rPr>
      </w:pPr>
      <w:r w:rsidRPr="00DE5901">
        <w:rPr>
          <w:b/>
          <w:bCs/>
        </w:rPr>
        <w:t>DECIDE</w:t>
      </w:r>
      <w:r w:rsidR="00A70EA3">
        <w:rPr>
          <w:b/>
          <w:bCs/>
        </w:rPr>
        <w:t> :</w:t>
      </w:r>
    </w:p>
    <w:p w14:paraId="620CBCB7" w14:textId="77777777" w:rsidR="00A70EA3" w:rsidRDefault="00DE5901" w:rsidP="009E28F9">
      <w:pPr>
        <w:jc w:val="both"/>
      </w:pPr>
      <w:r w:rsidRPr="00A70EA3">
        <w:rPr>
          <w:b/>
          <w:bCs/>
        </w:rPr>
        <w:t>ARTICLE 1 :</w:t>
      </w:r>
      <w:r>
        <w:t xml:space="preserve"> </w:t>
      </w:r>
    </w:p>
    <w:p w14:paraId="7013D5C2" w14:textId="7CFEE27C" w:rsidR="00DE5901" w:rsidRDefault="00DE5901" w:rsidP="009E28F9">
      <w:pPr>
        <w:jc w:val="both"/>
      </w:pPr>
      <w:r w:rsidRPr="00A70EA3">
        <w:rPr>
          <w:highlight w:val="yellow"/>
        </w:rPr>
        <w:t>Madame/Monsieur</w:t>
      </w:r>
      <w:r w:rsidR="00173CF4" w:rsidRPr="00173CF4">
        <w:rPr>
          <w:highlight w:val="yellow"/>
        </w:rPr>
        <w:t xml:space="preserve"> </w:t>
      </w:r>
      <w:r w:rsidR="00173CF4" w:rsidRPr="00935752">
        <w:rPr>
          <w:highlight w:val="yellow"/>
        </w:rPr>
        <w:t>xxx</w:t>
      </w:r>
      <w:r w:rsidR="00173CF4">
        <w:t xml:space="preserve"> </w:t>
      </w:r>
      <w:r>
        <w:t>bénéficie d’une période de préparation au reclassement à compter du</w:t>
      </w:r>
      <w:r w:rsidR="00173CF4" w:rsidRPr="00173CF4">
        <w:rPr>
          <w:highlight w:val="yellow"/>
        </w:rPr>
        <w:t xml:space="preserve"> </w:t>
      </w:r>
      <w:r w:rsidR="00173CF4" w:rsidRPr="00935752">
        <w:rPr>
          <w:highlight w:val="yellow"/>
        </w:rPr>
        <w:t>xxx</w:t>
      </w:r>
      <w:r w:rsidR="00A70EA3">
        <w:rPr>
          <w:rStyle w:val="Appelnotedebasdep"/>
          <w:highlight w:val="yellow"/>
        </w:rPr>
        <w:footnoteReference w:id="1"/>
      </w:r>
      <w:r w:rsidR="00D33DC6">
        <w:t>,</w:t>
      </w:r>
      <w:r w:rsidR="00095396">
        <w:t xml:space="preserve"> afin </w:t>
      </w:r>
      <w:r w:rsidR="00095396">
        <w:rPr>
          <w:rFonts w:eastAsia="Times New Roman" w:cstheme="minorHAnsi"/>
        </w:rPr>
        <w:t>d'accompagner sa transition professionnelle vers le reclassement</w:t>
      </w:r>
      <w:r w:rsidR="00173CF4">
        <w:rPr>
          <w:rStyle w:val="Appelnotedebasdep"/>
          <w:rFonts w:eastAsia="Times New Roman" w:cstheme="minorHAnsi"/>
        </w:rPr>
        <w:footnoteReference w:id="2"/>
      </w:r>
      <w:r w:rsidR="00095396">
        <w:rPr>
          <w:rFonts w:eastAsia="Times New Roman" w:cstheme="minorHAnsi"/>
        </w:rPr>
        <w:t>.</w:t>
      </w:r>
      <w:r w:rsidR="00473116">
        <w:rPr>
          <w:rStyle w:val="Appelnotedebasdep"/>
          <w:rFonts w:eastAsia="Times New Roman" w:cstheme="minorHAnsi"/>
        </w:rPr>
        <w:footnoteReference w:id="3"/>
      </w:r>
    </w:p>
    <w:p w14:paraId="1CFAE228" w14:textId="77777777" w:rsidR="00A70EA3" w:rsidRPr="00A70EA3" w:rsidRDefault="00DE5901" w:rsidP="009E28F9">
      <w:pPr>
        <w:jc w:val="both"/>
        <w:rPr>
          <w:b/>
          <w:bCs/>
        </w:rPr>
      </w:pPr>
      <w:r w:rsidRPr="00A70EA3">
        <w:rPr>
          <w:b/>
          <w:bCs/>
        </w:rPr>
        <w:t xml:space="preserve">ARTICLE 2 : </w:t>
      </w:r>
    </w:p>
    <w:p w14:paraId="43FC5782" w14:textId="64142A65" w:rsidR="00DE5901" w:rsidRDefault="00BC660E" w:rsidP="009E28F9">
      <w:pPr>
        <w:jc w:val="both"/>
      </w:pPr>
      <w:r>
        <w:t xml:space="preserve">Pendant cette période, </w:t>
      </w:r>
      <w:r w:rsidRPr="00095396">
        <w:rPr>
          <w:highlight w:val="yellow"/>
        </w:rPr>
        <w:t>Madame/Monsieur</w:t>
      </w:r>
      <w:r w:rsidRPr="00173CF4">
        <w:rPr>
          <w:highlight w:val="yellow"/>
        </w:rPr>
        <w:t xml:space="preserve"> </w:t>
      </w:r>
      <w:r w:rsidRPr="00935752">
        <w:rPr>
          <w:highlight w:val="yellow"/>
        </w:rPr>
        <w:t>xxx</w:t>
      </w:r>
      <w:r>
        <w:t xml:space="preserve"> demeure en position d’activité dans son corps d’origine et perçoit son plein traitement, ainsi que, le cas échéant, l’indemnité de résidence, le supplément </w:t>
      </w:r>
      <w:r>
        <w:lastRenderedPageBreak/>
        <w:t xml:space="preserve">familial de traitement et le complément de traitement indiciaire. </w:t>
      </w:r>
      <w:r w:rsidRPr="00D33DC6">
        <w:rPr>
          <w:highlight w:val="yellow"/>
        </w:rPr>
        <w:t>Il/Elle</w:t>
      </w:r>
      <w:r>
        <w:t xml:space="preserve"> conserve également les primes et les indemnités accessoires non attachées à l'exercice des fonctions et n’ayant pas le caractère de remboursement de frais. Les dispositions des régimes indemnitaires qui prévoient leur modulation en fonction des résultats et de la manière de servir de l'agent demeurent applicables.</w:t>
      </w:r>
    </w:p>
    <w:p w14:paraId="52E7AE8E" w14:textId="77777777" w:rsidR="00A70EA3" w:rsidRPr="00A70EA3" w:rsidRDefault="00525646" w:rsidP="009E28F9">
      <w:pPr>
        <w:jc w:val="both"/>
        <w:rPr>
          <w:b/>
          <w:bCs/>
        </w:rPr>
      </w:pPr>
      <w:r w:rsidRPr="00A70EA3">
        <w:rPr>
          <w:b/>
          <w:bCs/>
        </w:rPr>
        <w:t xml:space="preserve">ARTICLE 3 : </w:t>
      </w:r>
    </w:p>
    <w:p w14:paraId="7B64A719" w14:textId="771C4E53" w:rsidR="00525646" w:rsidRDefault="00525646" w:rsidP="009E28F9">
      <w:pPr>
        <w:jc w:val="both"/>
      </w:pPr>
      <w:r w:rsidRPr="00525646">
        <w:t>La période de préparation au reclassement</w:t>
      </w:r>
      <w:r>
        <w:t xml:space="preserve"> de </w:t>
      </w:r>
      <w:r w:rsidRPr="00095396">
        <w:rPr>
          <w:highlight w:val="yellow"/>
        </w:rPr>
        <w:t>Madame/Monsieur</w:t>
      </w:r>
      <w:r w:rsidR="00173CF4" w:rsidRPr="00173CF4">
        <w:rPr>
          <w:highlight w:val="yellow"/>
        </w:rPr>
        <w:t xml:space="preserve"> </w:t>
      </w:r>
      <w:r w:rsidR="00173CF4" w:rsidRPr="00935752">
        <w:rPr>
          <w:highlight w:val="yellow"/>
        </w:rPr>
        <w:t>xxx</w:t>
      </w:r>
      <w:r w:rsidR="00173CF4">
        <w:t xml:space="preserve"> </w:t>
      </w:r>
      <w:r>
        <w:t xml:space="preserve">prend </w:t>
      </w:r>
      <w:r w:rsidRPr="00525646">
        <w:t xml:space="preserve">fin à la date de </w:t>
      </w:r>
      <w:r>
        <w:t xml:space="preserve">son </w:t>
      </w:r>
      <w:r w:rsidRPr="00525646">
        <w:t xml:space="preserve">reclassement </w:t>
      </w:r>
      <w:r w:rsidR="00067AE2">
        <w:t>ou</w:t>
      </w:r>
      <w:r w:rsidR="00D33DC6">
        <w:t xml:space="preserve"> </w:t>
      </w:r>
      <w:r w:rsidRPr="00525646">
        <w:t>au plus tard un an après la date à laquelle elle a débuté</w:t>
      </w:r>
      <w:r>
        <w:t>.</w:t>
      </w:r>
      <w:r w:rsidR="00095396">
        <w:t xml:space="preserve"> </w:t>
      </w:r>
    </w:p>
    <w:p w14:paraId="497A4CE3" w14:textId="17837B56" w:rsidR="00095396" w:rsidRDefault="00067AE2" w:rsidP="009E28F9">
      <w:pPr>
        <w:jc w:val="both"/>
      </w:pPr>
      <w:r>
        <w:t xml:space="preserve">Si l’agent bénéficie, au cours de la période, d’un </w:t>
      </w:r>
      <w:r w:rsidR="00D33DC6">
        <w:t>congé pour raison de santé, congé pour invalidité temporaire imputable au service, congé de maternité, ou l’un des congés liés aux charges parentales</w:t>
      </w:r>
      <w:r w:rsidR="00095396">
        <w:t>, la date de fin de la période de préparation au reclassement est reportée de la durée de ce congé.</w:t>
      </w:r>
    </w:p>
    <w:p w14:paraId="5223AA74" w14:textId="0D252EC4" w:rsidR="00A45CE1" w:rsidRDefault="00DE5901" w:rsidP="009E28F9">
      <w:pPr>
        <w:jc w:val="both"/>
        <w:rPr>
          <w:b/>
          <w:bCs/>
        </w:rPr>
      </w:pPr>
      <w:r w:rsidRPr="00A70EA3">
        <w:rPr>
          <w:b/>
          <w:bCs/>
        </w:rPr>
        <w:t xml:space="preserve">ARTICLE </w:t>
      </w:r>
      <w:r w:rsidR="00525646" w:rsidRPr="00A70EA3">
        <w:rPr>
          <w:b/>
          <w:bCs/>
        </w:rPr>
        <w:t>4</w:t>
      </w:r>
      <w:r w:rsidRPr="00A70EA3">
        <w:rPr>
          <w:b/>
          <w:bCs/>
        </w:rPr>
        <w:t xml:space="preserve"> :</w:t>
      </w:r>
    </w:p>
    <w:p w14:paraId="534C1AF3" w14:textId="7A22899F" w:rsidR="00D41678" w:rsidRDefault="00B70A66" w:rsidP="009E28F9">
      <w:pPr>
        <w:jc w:val="both"/>
      </w:pPr>
      <w:r w:rsidRPr="00B70A66">
        <w:t xml:space="preserve">Un projet </w:t>
      </w:r>
      <w:r>
        <w:t xml:space="preserve">définissant le contenu, les modalités de mise en œuvre et la durée de la préparation au reclassement au terme de laquelle </w:t>
      </w:r>
      <w:r w:rsidRPr="00B70A66">
        <w:rPr>
          <w:highlight w:val="yellow"/>
        </w:rPr>
        <w:t>l'</w:t>
      </w:r>
      <w:proofErr w:type="spellStart"/>
      <w:r w:rsidRPr="00B70A66">
        <w:rPr>
          <w:highlight w:val="yellow"/>
        </w:rPr>
        <w:t>intéressé</w:t>
      </w:r>
      <w:r>
        <w:rPr>
          <w:highlight w:val="yellow"/>
        </w:rPr>
        <w:t>.</w:t>
      </w:r>
      <w:r w:rsidRPr="00B70A66">
        <w:rPr>
          <w:highlight w:val="yellow"/>
        </w:rPr>
        <w:t>e</w:t>
      </w:r>
      <w:proofErr w:type="spellEnd"/>
      <w:r>
        <w:t xml:space="preserve"> présentera sa demande de reclassement, </w:t>
      </w:r>
      <w:r w:rsidR="004D075E">
        <w:t xml:space="preserve">est </w:t>
      </w:r>
      <w:r>
        <w:t xml:space="preserve">établi par l’établissement conjointement avec </w:t>
      </w:r>
      <w:r w:rsidRPr="00B70A66">
        <w:rPr>
          <w:highlight w:val="yellow"/>
        </w:rPr>
        <w:t>Monsieur/Madame</w:t>
      </w:r>
      <w:r w:rsidR="00173CF4" w:rsidRPr="00173CF4">
        <w:rPr>
          <w:highlight w:val="yellow"/>
        </w:rPr>
        <w:t xml:space="preserve"> </w:t>
      </w:r>
      <w:r w:rsidR="00173CF4" w:rsidRPr="00935752">
        <w:rPr>
          <w:highlight w:val="yellow"/>
        </w:rPr>
        <w:t>xxx</w:t>
      </w:r>
      <w:r>
        <w:t>.</w:t>
      </w:r>
    </w:p>
    <w:p w14:paraId="5D61E6A3" w14:textId="0ABB6CDD" w:rsidR="00A45CE1" w:rsidRPr="00B70A66" w:rsidRDefault="00B70A66" w:rsidP="009E28F9">
      <w:pPr>
        <w:jc w:val="both"/>
      </w:pPr>
      <w:r>
        <w:t>Ce projet sera notifié à l’agent au plus tard deux mois après le début de la période de préparation au reclassement afin de recueillir son accord et son engagement à en respecter les termes.</w:t>
      </w:r>
      <w:r w:rsidR="00D41678">
        <w:t xml:space="preserve"> </w:t>
      </w:r>
      <w:r>
        <w:t>L’agent qui ne donne pas son accord au projet dans un délai de quinze jours à compter de la date de sa notification est réputé refuser la période de préparation au reclassement pour la durée restant à courir.</w:t>
      </w:r>
    </w:p>
    <w:p w14:paraId="0010FC62" w14:textId="543B9738" w:rsidR="00A70EA3" w:rsidRPr="00A70EA3" w:rsidRDefault="00A45CE1" w:rsidP="009E28F9">
      <w:pPr>
        <w:jc w:val="both"/>
        <w:rPr>
          <w:b/>
          <w:bCs/>
        </w:rPr>
      </w:pPr>
      <w:r>
        <w:rPr>
          <w:b/>
          <w:bCs/>
        </w:rPr>
        <w:t>ARTCILE 5 :</w:t>
      </w:r>
      <w:r w:rsidR="00DE5901" w:rsidRPr="00A70EA3">
        <w:rPr>
          <w:b/>
          <w:bCs/>
        </w:rPr>
        <w:t xml:space="preserve"> </w:t>
      </w:r>
    </w:p>
    <w:p w14:paraId="0DC62827" w14:textId="1E2B777B" w:rsidR="00DE5901" w:rsidRDefault="00DE5901" w:rsidP="009E28F9">
      <w:pPr>
        <w:jc w:val="both"/>
      </w:pPr>
      <w:r w:rsidRPr="00095396">
        <w:rPr>
          <w:highlight w:val="yellow"/>
        </w:rPr>
        <w:t>Madame/Monsieur</w:t>
      </w:r>
      <w:r w:rsidR="00173CF4" w:rsidRPr="00173CF4">
        <w:rPr>
          <w:highlight w:val="yellow"/>
        </w:rPr>
        <w:t xml:space="preserve"> </w:t>
      </w:r>
      <w:r w:rsidR="00173CF4" w:rsidRPr="00935752">
        <w:rPr>
          <w:highlight w:val="yellow"/>
        </w:rPr>
        <w:t>xxx</w:t>
      </w:r>
      <w:r w:rsidR="00173CF4">
        <w:t xml:space="preserve"> </w:t>
      </w:r>
      <w:r w:rsidRPr="00DE5901">
        <w:t xml:space="preserve">dispose d'un délai de deux mois à compter de sa notification pour contester la présente décision devant la juridiction administrative territorialement compétente ou par l'application Télérecours citoyens accessible à partir du site </w:t>
      </w:r>
      <w:hyperlink r:id="rId7" w:history="1">
        <w:r w:rsidR="00D33DC6" w:rsidRPr="003A36CB">
          <w:rPr>
            <w:rStyle w:val="Lienhypertexte"/>
          </w:rPr>
          <w:t>www.telerecours.fr</w:t>
        </w:r>
      </w:hyperlink>
      <w:r w:rsidRPr="00DE5901">
        <w:t>.</w:t>
      </w:r>
    </w:p>
    <w:p w14:paraId="68D943CD" w14:textId="77777777" w:rsidR="00D33DC6" w:rsidRDefault="00D33DC6" w:rsidP="009E28F9">
      <w:pPr>
        <w:jc w:val="both"/>
      </w:pPr>
    </w:p>
    <w:p w14:paraId="4779BCD0" w14:textId="77777777" w:rsidR="00D33DC6" w:rsidRDefault="00D33DC6" w:rsidP="009E28F9">
      <w:pPr>
        <w:jc w:val="both"/>
      </w:pPr>
      <w:r>
        <w:t>Fait à [</w:t>
      </w:r>
      <w:r w:rsidRPr="00D33DC6">
        <w:rPr>
          <w:highlight w:val="yellow"/>
        </w:rPr>
        <w:t>lieu</w:t>
      </w:r>
      <w:r>
        <w:t>], le [</w:t>
      </w:r>
      <w:r w:rsidRPr="00D33DC6">
        <w:rPr>
          <w:highlight w:val="yellow"/>
        </w:rPr>
        <w:t>date</w:t>
      </w:r>
      <w:r>
        <w:t>]</w:t>
      </w:r>
    </w:p>
    <w:p w14:paraId="244D5035" w14:textId="77777777" w:rsidR="00D33DC6" w:rsidRDefault="00D33DC6" w:rsidP="009E28F9">
      <w:pPr>
        <w:jc w:val="both"/>
      </w:pPr>
      <w:r>
        <w:t>Le Directeur,</w:t>
      </w:r>
    </w:p>
    <w:p w14:paraId="65F166C2" w14:textId="450AC729" w:rsidR="00D33DC6" w:rsidRDefault="00D33DC6" w:rsidP="009E28F9">
      <w:pPr>
        <w:jc w:val="both"/>
      </w:pPr>
      <w:r>
        <w:t>[</w:t>
      </w:r>
      <w:r w:rsidRPr="00D33DC6">
        <w:rPr>
          <w:highlight w:val="yellow"/>
        </w:rPr>
        <w:t>Nom, prénom, signature, cachet de l’établissement</w:t>
      </w:r>
      <w:r>
        <w:t>]</w:t>
      </w:r>
    </w:p>
    <w:p w14:paraId="5E6AC320" w14:textId="40CC8DEC" w:rsidR="00D33DC6" w:rsidRDefault="00D33DC6" w:rsidP="009E28F9">
      <w:pPr>
        <w:jc w:val="both"/>
      </w:pPr>
    </w:p>
    <w:p w14:paraId="2595F322" w14:textId="77777777" w:rsidR="00DE5901" w:rsidRPr="00DE5901" w:rsidRDefault="00DE5901" w:rsidP="009E28F9">
      <w:pPr>
        <w:jc w:val="both"/>
      </w:pPr>
    </w:p>
    <w:p w14:paraId="3217B6F8" w14:textId="77777777" w:rsidR="00381CA6" w:rsidRPr="000C2ED4" w:rsidRDefault="00381CA6" w:rsidP="009E28F9">
      <w:pPr>
        <w:jc w:val="both"/>
        <w:rPr>
          <w:i/>
          <w:iCs/>
        </w:rPr>
      </w:pPr>
      <w:r w:rsidRPr="000C2ED4">
        <w:rPr>
          <w:i/>
          <w:iCs/>
        </w:rPr>
        <w:t xml:space="preserve">Copie : </w:t>
      </w:r>
    </w:p>
    <w:p w14:paraId="52D31618" w14:textId="77777777" w:rsidR="00381CA6" w:rsidRPr="000C2ED4" w:rsidRDefault="00381CA6" w:rsidP="009E28F9">
      <w:pPr>
        <w:pStyle w:val="Paragraphedeliste"/>
        <w:numPr>
          <w:ilvl w:val="0"/>
          <w:numId w:val="1"/>
        </w:numPr>
        <w:jc w:val="both"/>
        <w:rPr>
          <w:i/>
          <w:iCs/>
        </w:rPr>
      </w:pPr>
      <w:r w:rsidRPr="000C2ED4">
        <w:rPr>
          <w:i/>
          <w:iCs/>
        </w:rPr>
        <w:t>Dossier Agent</w:t>
      </w:r>
    </w:p>
    <w:p w14:paraId="070373EF" w14:textId="77777777" w:rsidR="00381CA6" w:rsidRPr="000C2ED4" w:rsidRDefault="00381CA6" w:rsidP="009E28F9">
      <w:pPr>
        <w:pStyle w:val="Paragraphedeliste"/>
        <w:numPr>
          <w:ilvl w:val="0"/>
          <w:numId w:val="1"/>
        </w:numPr>
        <w:jc w:val="both"/>
        <w:rPr>
          <w:i/>
          <w:iCs/>
        </w:rPr>
      </w:pPr>
      <w:r w:rsidRPr="000C2ED4">
        <w:rPr>
          <w:i/>
          <w:iCs/>
        </w:rPr>
        <w:t>Trésorerie</w:t>
      </w:r>
    </w:p>
    <w:p w14:paraId="06739603" w14:textId="77777777" w:rsidR="00DE5901" w:rsidRDefault="00DE5901" w:rsidP="009E28F9">
      <w:pPr>
        <w:jc w:val="both"/>
      </w:pPr>
    </w:p>
    <w:p w14:paraId="22B18134" w14:textId="77777777" w:rsidR="00DE5901" w:rsidRDefault="00DE5901" w:rsidP="009E28F9">
      <w:pPr>
        <w:jc w:val="both"/>
      </w:pPr>
    </w:p>
    <w:sectPr w:rsidR="00DE590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51A3C" w14:textId="77777777" w:rsidR="002E764E" w:rsidRDefault="002E764E" w:rsidP="00A70EA3">
      <w:pPr>
        <w:spacing w:after="0" w:line="240" w:lineRule="auto"/>
      </w:pPr>
      <w:r>
        <w:separator/>
      </w:r>
    </w:p>
  </w:endnote>
  <w:endnote w:type="continuationSeparator" w:id="0">
    <w:p w14:paraId="0C181AF7" w14:textId="77777777" w:rsidR="002E764E" w:rsidRDefault="002E764E" w:rsidP="00A70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6349" w14:textId="77777777" w:rsidR="005F5D33" w:rsidRDefault="005F5D3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290430"/>
      <w:docPartObj>
        <w:docPartGallery w:val="Page Numbers (Bottom of Page)"/>
        <w:docPartUnique/>
      </w:docPartObj>
    </w:sdtPr>
    <w:sdtEndPr/>
    <w:sdtContent>
      <w:sdt>
        <w:sdtPr>
          <w:id w:val="-1769616900"/>
          <w:docPartObj>
            <w:docPartGallery w:val="Page Numbers (Top of Page)"/>
            <w:docPartUnique/>
          </w:docPartObj>
        </w:sdtPr>
        <w:sdtEndPr/>
        <w:sdtContent>
          <w:p w14:paraId="4BBB8346" w14:textId="2D019AA5" w:rsidR="005F5D33" w:rsidRPr="002A031E" w:rsidRDefault="002A031E" w:rsidP="002A031E">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F7AFB" w14:textId="77777777" w:rsidR="005F5D33" w:rsidRDefault="005F5D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F0291" w14:textId="77777777" w:rsidR="002E764E" w:rsidRDefault="002E764E" w:rsidP="00A70EA3">
      <w:pPr>
        <w:spacing w:after="0" w:line="240" w:lineRule="auto"/>
      </w:pPr>
      <w:r>
        <w:separator/>
      </w:r>
    </w:p>
  </w:footnote>
  <w:footnote w:type="continuationSeparator" w:id="0">
    <w:p w14:paraId="2CD767F1" w14:textId="77777777" w:rsidR="002E764E" w:rsidRDefault="002E764E" w:rsidP="00A70EA3">
      <w:pPr>
        <w:spacing w:after="0" w:line="240" w:lineRule="auto"/>
      </w:pPr>
      <w:r>
        <w:continuationSeparator/>
      </w:r>
    </w:p>
  </w:footnote>
  <w:footnote w:id="1">
    <w:p w14:paraId="39B6D7E6" w14:textId="0ECA2BCC" w:rsidR="00A70EA3" w:rsidRDefault="00A70EA3" w:rsidP="00473116">
      <w:pPr>
        <w:pStyle w:val="Notedebasdepage"/>
        <w:jc w:val="both"/>
      </w:pPr>
      <w:r>
        <w:rPr>
          <w:rStyle w:val="Appelnotedebasdep"/>
        </w:rPr>
        <w:footnoteRef/>
      </w:r>
      <w:r>
        <w:t xml:space="preserve"> </w:t>
      </w:r>
      <w:bookmarkStart w:id="1" w:name="_Hlk213942009"/>
      <w:r>
        <w:t>A compter de la réception de l'avis du conseil médical ou, sur demande du fonctionnaire, à compter de la date à laquelle l’employeur a sollicité l'avis du conseil médical (dans ce cas</w:t>
      </w:r>
      <w:r w:rsidR="00473116">
        <w:t>,</w:t>
      </w:r>
      <w:r>
        <w:t xml:space="preserve"> si avis du CM défavorable, fin de la PPR) ou à la reprise des fonctions de l’agent en PPR lorsqu’il est en congé pour raison de santé ou en congé de maternité lors de la réception de l'avis du conseil médical. Report possible par accord entre le fonctionnaire et l’employeur dans la limite de deux mois.</w:t>
      </w:r>
    </w:p>
    <w:bookmarkEnd w:id="1"/>
  </w:footnote>
  <w:footnote w:id="2">
    <w:p w14:paraId="25ABB115" w14:textId="51799FA3" w:rsidR="00173CF4" w:rsidRDefault="00173CF4" w:rsidP="00473116">
      <w:pPr>
        <w:pStyle w:val="Notedebasdepage"/>
        <w:jc w:val="both"/>
      </w:pPr>
      <w:r>
        <w:rPr>
          <w:rStyle w:val="Appelnotedebasdep"/>
        </w:rPr>
        <w:footnoteRef/>
      </w:r>
      <w:r>
        <w:t xml:space="preserve"> Il convient de noter que le fonctionnaire qui bénéficie d’une PPR sont comptabilisés comme bénéficiaires de l’obligation d’emploi au même titre que ceux qui ont été reclassés, conformément à l’article L. 351-5 du code général de la fonction publique.</w:t>
      </w:r>
    </w:p>
  </w:footnote>
  <w:footnote w:id="3">
    <w:p w14:paraId="5943A3C9" w14:textId="45258478" w:rsidR="00473116" w:rsidRDefault="00473116" w:rsidP="00473116">
      <w:pPr>
        <w:pStyle w:val="Commentaire"/>
        <w:jc w:val="both"/>
      </w:pPr>
      <w:r>
        <w:rPr>
          <w:rStyle w:val="Appelnotedebasdep"/>
        </w:rPr>
        <w:footnoteRef/>
      </w:r>
      <w:r>
        <w:t xml:space="preserve"> Concernant la date de fin, celle-ci sera fixée dans la convention, donc conjointement avec l’agent, dans les deux mois suivant la mise en PPR.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9A493" w14:textId="28E7AF68" w:rsidR="005F5D33" w:rsidRDefault="0023238B">
    <w:pPr>
      <w:pStyle w:val="En-tte"/>
    </w:pPr>
    <w:r>
      <w:rPr>
        <w:noProof/>
      </w:rPr>
      <w:pict w14:anchorId="6C8E4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654672"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6751A" w14:textId="089C9F18" w:rsidR="0023238B" w:rsidRDefault="0023238B" w:rsidP="0023238B">
    <w:pPr>
      <w:pStyle w:val="En-tte"/>
      <w:tabs>
        <w:tab w:val="clear" w:pos="9072"/>
        <w:tab w:val="right" w:pos="9923"/>
      </w:tabs>
      <w:ind w:left="-567" w:right="-563"/>
      <w:rPr>
        <w:rFonts w:ascii="Tahoma" w:hAnsi="Tahoma" w:cs="Tahoma"/>
        <w:sz w:val="18"/>
        <w:szCs w:val="18"/>
      </w:rPr>
    </w:pPr>
    <w:r>
      <w:rPr>
        <w:noProof/>
      </w:rPr>
      <w:drawing>
        <wp:anchor distT="0" distB="0" distL="114300" distR="114300" simplePos="0" relativeHeight="251666432" behindDoc="1" locked="0" layoutInCell="1" allowOverlap="1" wp14:anchorId="670D0D69" wp14:editId="2BCD9367">
          <wp:simplePos x="0" y="0"/>
          <wp:positionH relativeFrom="column">
            <wp:posOffset>-583565</wp:posOffset>
          </wp:positionH>
          <wp:positionV relativeFrom="paragraph">
            <wp:posOffset>-323850</wp:posOffset>
          </wp:positionV>
          <wp:extent cx="1312545" cy="654050"/>
          <wp:effectExtent l="0" t="0" r="1905" b="0"/>
          <wp:wrapTight wrapText="bothSides">
            <wp:wrapPolygon edited="0">
              <wp:start x="0" y="0"/>
              <wp:lineTo x="0" y="20761"/>
              <wp:lineTo x="21318" y="20761"/>
              <wp:lineTo x="2131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2545" cy="654050"/>
                  </a:xfrm>
                  <a:prstGeom prst="rect">
                    <a:avLst/>
                  </a:prstGeom>
                  <a:noFill/>
                </pic:spPr>
              </pic:pic>
            </a:graphicData>
          </a:graphic>
          <wp14:sizeRelH relativeFrom="page">
            <wp14:pctWidth>0</wp14:pctWidth>
          </wp14:sizeRelH>
          <wp14:sizeRelV relativeFrom="page">
            <wp14:pctHeight>0</wp14:pctHeight>
          </wp14:sizeRelV>
        </wp:anchor>
      </w:drawing>
    </w:r>
    <w:bookmarkStart w:id="2" w:name="_Hlk203733725"/>
    <w:r>
      <w:rPr>
        <w:rFonts w:ascii="Tahoma" w:hAnsi="Tahoma" w:cs="Tahoma"/>
        <w:sz w:val="18"/>
        <w:szCs w:val="18"/>
      </w:rPr>
      <w:t>Pôle Ressources humaines hospitalières</w:t>
    </w:r>
    <w:r>
      <w:rPr>
        <w:rFonts w:ascii="Tahoma" w:hAnsi="Tahoma" w:cs="Tahoma"/>
        <w:sz w:val="18"/>
        <w:szCs w:val="18"/>
      </w:rPr>
      <w:tab/>
    </w:r>
    <w:r>
      <w:rPr>
        <w:rFonts w:ascii="Tahoma" w:hAnsi="Tahoma" w:cs="Tahoma"/>
        <w:sz w:val="18"/>
        <w:szCs w:val="18"/>
      </w:rPr>
      <w:tab/>
      <w:t>décembre 2025</w:t>
    </w:r>
    <w:bookmarkEnd w:id="2"/>
  </w:p>
  <w:p w14:paraId="052AC194" w14:textId="7B900749" w:rsidR="005F5D33" w:rsidRDefault="0023238B">
    <w:pPr>
      <w:pStyle w:val="En-tte"/>
    </w:pPr>
    <w:r>
      <w:pict w14:anchorId="7AC85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633267" o:spid="_x0000_s2052" type="#_x0000_t136" style="position:absolute;margin-left:0;margin-top:0;width:538.55pt;height:100.95pt;rotation:315;z-index:-251651072;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r>
      <w:rPr>
        <w:noProof/>
      </w:rPr>
      <w:pict w14:anchorId="29347C3F">
        <v:shape id="PowerPlusWaterMarkObject206654673"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9530C" w14:textId="325CDAB2" w:rsidR="005F5D33" w:rsidRDefault="0023238B">
    <w:pPr>
      <w:pStyle w:val="En-tte"/>
    </w:pPr>
    <w:r>
      <w:rPr>
        <w:noProof/>
      </w:rPr>
      <w:pict w14:anchorId="019B0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654671"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A25D6"/>
    <w:multiLevelType w:val="hybridMultilevel"/>
    <w:tmpl w:val="93DCF2E4"/>
    <w:lvl w:ilvl="0" w:tplc="ABE4E46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01"/>
    <w:rsid w:val="00034B9B"/>
    <w:rsid w:val="00067AE2"/>
    <w:rsid w:val="00095396"/>
    <w:rsid w:val="000B736B"/>
    <w:rsid w:val="00113485"/>
    <w:rsid w:val="00173CF4"/>
    <w:rsid w:val="0023238B"/>
    <w:rsid w:val="002A031E"/>
    <w:rsid w:val="002E764E"/>
    <w:rsid w:val="002F06B2"/>
    <w:rsid w:val="0033671E"/>
    <w:rsid w:val="003565DD"/>
    <w:rsid w:val="0037406E"/>
    <w:rsid w:val="00381CA6"/>
    <w:rsid w:val="00470A66"/>
    <w:rsid w:val="00473116"/>
    <w:rsid w:val="004D075E"/>
    <w:rsid w:val="00525646"/>
    <w:rsid w:val="005F5D33"/>
    <w:rsid w:val="006E0007"/>
    <w:rsid w:val="00773B9B"/>
    <w:rsid w:val="007937EB"/>
    <w:rsid w:val="007D5F32"/>
    <w:rsid w:val="00800AEA"/>
    <w:rsid w:val="00814AE5"/>
    <w:rsid w:val="00935752"/>
    <w:rsid w:val="009A6196"/>
    <w:rsid w:val="009E28F9"/>
    <w:rsid w:val="00A45CE1"/>
    <w:rsid w:val="00A70EA3"/>
    <w:rsid w:val="00AB587C"/>
    <w:rsid w:val="00B00407"/>
    <w:rsid w:val="00B64201"/>
    <w:rsid w:val="00B70A66"/>
    <w:rsid w:val="00B70C59"/>
    <w:rsid w:val="00BC660E"/>
    <w:rsid w:val="00BC6651"/>
    <w:rsid w:val="00C07914"/>
    <w:rsid w:val="00C7093E"/>
    <w:rsid w:val="00D33DC6"/>
    <w:rsid w:val="00D41678"/>
    <w:rsid w:val="00DE34CE"/>
    <w:rsid w:val="00DE5901"/>
    <w:rsid w:val="00EB4108"/>
    <w:rsid w:val="00F32FFF"/>
    <w:rsid w:val="00F86C51"/>
    <w:rsid w:val="00FA45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0E109C9"/>
  <w15:chartTrackingRefBased/>
  <w15:docId w15:val="{C7AECCEB-F9BE-4A8A-92A4-0CBB9270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F86C51"/>
    <w:rPr>
      <w:sz w:val="16"/>
      <w:szCs w:val="16"/>
    </w:rPr>
  </w:style>
  <w:style w:type="paragraph" w:styleId="Commentaire">
    <w:name w:val="annotation text"/>
    <w:basedOn w:val="Normal"/>
    <w:link w:val="CommentaireCar"/>
    <w:uiPriority w:val="99"/>
    <w:unhideWhenUsed/>
    <w:rsid w:val="00F86C51"/>
    <w:pPr>
      <w:spacing w:line="240" w:lineRule="auto"/>
    </w:pPr>
    <w:rPr>
      <w:sz w:val="20"/>
      <w:szCs w:val="20"/>
    </w:rPr>
  </w:style>
  <w:style w:type="character" w:customStyle="1" w:styleId="CommentaireCar">
    <w:name w:val="Commentaire Car"/>
    <w:basedOn w:val="Policepardfaut"/>
    <w:link w:val="Commentaire"/>
    <w:uiPriority w:val="99"/>
    <w:rsid w:val="00F86C51"/>
    <w:rPr>
      <w:sz w:val="20"/>
      <w:szCs w:val="20"/>
    </w:rPr>
  </w:style>
  <w:style w:type="paragraph" w:styleId="Objetducommentaire">
    <w:name w:val="annotation subject"/>
    <w:basedOn w:val="Commentaire"/>
    <w:next w:val="Commentaire"/>
    <w:link w:val="ObjetducommentaireCar"/>
    <w:uiPriority w:val="99"/>
    <w:semiHidden/>
    <w:unhideWhenUsed/>
    <w:rsid w:val="00F86C51"/>
    <w:rPr>
      <w:b/>
      <w:bCs/>
    </w:rPr>
  </w:style>
  <w:style w:type="character" w:customStyle="1" w:styleId="ObjetducommentaireCar">
    <w:name w:val="Objet du commentaire Car"/>
    <w:basedOn w:val="CommentaireCar"/>
    <w:link w:val="Objetducommentaire"/>
    <w:uiPriority w:val="99"/>
    <w:semiHidden/>
    <w:rsid w:val="00F86C51"/>
    <w:rPr>
      <w:b/>
      <w:bCs/>
      <w:sz w:val="20"/>
      <w:szCs w:val="20"/>
    </w:rPr>
  </w:style>
  <w:style w:type="paragraph" w:styleId="En-tte">
    <w:name w:val="header"/>
    <w:basedOn w:val="Normal"/>
    <w:link w:val="En-tteCar"/>
    <w:uiPriority w:val="99"/>
    <w:unhideWhenUsed/>
    <w:rsid w:val="00A70EA3"/>
    <w:pPr>
      <w:tabs>
        <w:tab w:val="center" w:pos="4536"/>
        <w:tab w:val="right" w:pos="9072"/>
      </w:tabs>
      <w:spacing w:after="0" w:line="240" w:lineRule="auto"/>
    </w:pPr>
  </w:style>
  <w:style w:type="character" w:customStyle="1" w:styleId="En-tteCar">
    <w:name w:val="En-tête Car"/>
    <w:basedOn w:val="Policepardfaut"/>
    <w:link w:val="En-tte"/>
    <w:uiPriority w:val="99"/>
    <w:rsid w:val="00A70EA3"/>
  </w:style>
  <w:style w:type="paragraph" w:styleId="Pieddepage">
    <w:name w:val="footer"/>
    <w:basedOn w:val="Normal"/>
    <w:link w:val="PieddepageCar"/>
    <w:uiPriority w:val="99"/>
    <w:unhideWhenUsed/>
    <w:rsid w:val="00A70E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0EA3"/>
  </w:style>
  <w:style w:type="paragraph" w:styleId="Notedebasdepage">
    <w:name w:val="footnote text"/>
    <w:basedOn w:val="Normal"/>
    <w:link w:val="NotedebasdepageCar"/>
    <w:uiPriority w:val="99"/>
    <w:unhideWhenUsed/>
    <w:rsid w:val="00A70EA3"/>
    <w:pPr>
      <w:spacing w:after="0" w:line="240" w:lineRule="auto"/>
    </w:pPr>
    <w:rPr>
      <w:sz w:val="20"/>
      <w:szCs w:val="20"/>
    </w:rPr>
  </w:style>
  <w:style w:type="character" w:customStyle="1" w:styleId="NotedebasdepageCar">
    <w:name w:val="Note de bas de page Car"/>
    <w:basedOn w:val="Policepardfaut"/>
    <w:link w:val="Notedebasdepage"/>
    <w:uiPriority w:val="99"/>
    <w:rsid w:val="00A70EA3"/>
    <w:rPr>
      <w:sz w:val="20"/>
      <w:szCs w:val="20"/>
    </w:rPr>
  </w:style>
  <w:style w:type="character" w:styleId="Appelnotedebasdep">
    <w:name w:val="footnote reference"/>
    <w:basedOn w:val="Policepardfaut"/>
    <w:uiPriority w:val="99"/>
    <w:semiHidden/>
    <w:unhideWhenUsed/>
    <w:rsid w:val="00A70EA3"/>
    <w:rPr>
      <w:vertAlign w:val="superscript"/>
    </w:rPr>
  </w:style>
  <w:style w:type="character" w:styleId="Lienhypertexte">
    <w:name w:val="Hyperlink"/>
    <w:basedOn w:val="Policepardfaut"/>
    <w:uiPriority w:val="99"/>
    <w:unhideWhenUsed/>
    <w:rsid w:val="00D33DC6"/>
    <w:rPr>
      <w:color w:val="0563C1" w:themeColor="hyperlink"/>
      <w:u w:val="single"/>
    </w:rPr>
  </w:style>
  <w:style w:type="character" w:styleId="Mentionnonrsolue">
    <w:name w:val="Unresolved Mention"/>
    <w:basedOn w:val="Policepardfaut"/>
    <w:uiPriority w:val="99"/>
    <w:semiHidden/>
    <w:unhideWhenUsed/>
    <w:rsid w:val="00D33DC6"/>
    <w:rPr>
      <w:color w:val="605E5C"/>
      <w:shd w:val="clear" w:color="auto" w:fill="E1DFDD"/>
    </w:rPr>
  </w:style>
  <w:style w:type="character" w:styleId="lev">
    <w:name w:val="Strong"/>
    <w:basedOn w:val="Policepardfaut"/>
    <w:uiPriority w:val="22"/>
    <w:qFormat/>
    <w:rsid w:val="00D33DC6"/>
    <w:rPr>
      <w:b/>
      <w:bCs/>
    </w:rPr>
  </w:style>
  <w:style w:type="paragraph" w:styleId="NormalWeb">
    <w:name w:val="Normal (Web)"/>
    <w:basedOn w:val="Normal"/>
    <w:uiPriority w:val="99"/>
    <w:unhideWhenUsed/>
    <w:rsid w:val="00B70A66"/>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Paragraphedeliste">
    <w:name w:val="List Paragraph"/>
    <w:basedOn w:val="Normal"/>
    <w:uiPriority w:val="34"/>
    <w:qFormat/>
    <w:rsid w:val="00381CA6"/>
    <w:pPr>
      <w:ind w:left="720"/>
      <w:contextualSpacing/>
    </w:pPr>
  </w:style>
  <w:style w:type="paragraph" w:styleId="Rvision">
    <w:name w:val="Revision"/>
    <w:hidden/>
    <w:uiPriority w:val="99"/>
    <w:semiHidden/>
    <w:rsid w:val="004D07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885054">
      <w:bodyDiv w:val="1"/>
      <w:marLeft w:val="0"/>
      <w:marRight w:val="0"/>
      <w:marTop w:val="0"/>
      <w:marBottom w:val="0"/>
      <w:divBdr>
        <w:top w:val="none" w:sz="0" w:space="0" w:color="auto"/>
        <w:left w:val="none" w:sz="0" w:space="0" w:color="auto"/>
        <w:bottom w:val="none" w:sz="0" w:space="0" w:color="auto"/>
        <w:right w:val="none" w:sz="0" w:space="0" w:color="auto"/>
      </w:divBdr>
    </w:div>
    <w:div w:id="148415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557</Words>
  <Characters>3069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FIZELIER</dc:creator>
  <cp:keywords/>
  <dc:description/>
  <cp:lastModifiedBy>DELESCLUSE Cloé</cp:lastModifiedBy>
  <cp:revision>20</cp:revision>
  <dcterms:created xsi:type="dcterms:W3CDTF">2025-10-31T14:11:00Z</dcterms:created>
  <dcterms:modified xsi:type="dcterms:W3CDTF">2025-12-17T16:46:00Z</dcterms:modified>
</cp:coreProperties>
</file>