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80" w:rsidRDefault="00C219BB">
      <w:r w:rsidRPr="00C219BB">
        <w:drawing>
          <wp:inline distT="0" distB="0" distL="0" distR="0">
            <wp:extent cx="3373120" cy="1161415"/>
            <wp:effectExtent l="0" t="0" r="508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9BB" w:rsidRDefault="00C219BB"/>
    <w:p w:rsidR="00C219BB" w:rsidRDefault="00C219BB"/>
    <w:p w:rsidR="00C219BB" w:rsidRDefault="00C219BB"/>
    <w:p w:rsidR="00C219BB" w:rsidRDefault="00C219BB">
      <w:pPr>
        <w:rPr>
          <w:rFonts w:ascii="Asap-BoldItalic" w:hAnsi="Asap-BoldItalic" w:cs="Asap-BoldItalic"/>
          <w:b/>
          <w:bCs/>
          <w:i/>
          <w:iCs/>
          <w:color w:val="262626"/>
          <w:sz w:val="43"/>
          <w:szCs w:val="43"/>
        </w:rPr>
      </w:pPr>
      <w:r>
        <w:rPr>
          <w:rFonts w:ascii="Asap-BoldItalic" w:hAnsi="Asap-BoldItalic" w:cs="Asap-BoldItalic"/>
          <w:b/>
          <w:bCs/>
          <w:i/>
          <w:iCs/>
          <w:color w:val="262626"/>
          <w:sz w:val="43"/>
          <w:szCs w:val="43"/>
        </w:rPr>
        <w:t>Kit pratique pour l’optimisation du recueil des données et de la facturation hospitalière</w:t>
      </w:r>
    </w:p>
    <w:p w:rsidR="00C219BB" w:rsidRDefault="00C219BB">
      <w:pPr>
        <w:rPr>
          <w:rFonts w:ascii="Asap-BoldItalic" w:hAnsi="Asap-BoldItalic" w:cs="Asap-BoldItalic"/>
          <w:bCs/>
          <w:iCs/>
          <w:color w:val="262626"/>
          <w:sz w:val="43"/>
          <w:szCs w:val="43"/>
        </w:rPr>
      </w:pPr>
    </w:p>
    <w:p w:rsidR="00C219BB" w:rsidRDefault="00C219BB" w:rsidP="00C219BB">
      <w:pPr>
        <w:widowControl w:val="0"/>
        <w:autoSpaceDE w:val="0"/>
        <w:autoSpaceDN w:val="0"/>
        <w:adjustRightInd w:val="0"/>
        <w:rPr>
          <w:rFonts w:ascii="Asap-BoldItalic" w:hAnsi="Asap-BoldItalic" w:cs="Asap-BoldItalic"/>
          <w:b/>
          <w:bCs/>
          <w:i/>
          <w:iCs/>
          <w:color w:val="262626"/>
          <w:sz w:val="34"/>
          <w:szCs w:val="34"/>
        </w:rPr>
      </w:pPr>
      <w:r>
        <w:rPr>
          <w:rFonts w:ascii="Asap-BoldItalic" w:hAnsi="Asap-BoldItalic" w:cs="Asap-BoldItalic"/>
          <w:b/>
          <w:bCs/>
          <w:i/>
          <w:iCs/>
          <w:color w:val="262626"/>
          <w:sz w:val="34"/>
          <w:szCs w:val="34"/>
        </w:rPr>
        <w:t>Présentation du kit</w:t>
      </w:r>
    </w:p>
    <w:p w:rsidR="00C219BB" w:rsidRDefault="00C219BB" w:rsidP="00C219BB">
      <w:pPr>
        <w:widowControl w:val="0"/>
        <w:autoSpaceDE w:val="0"/>
        <w:autoSpaceDN w:val="0"/>
        <w:adjustRightInd w:val="0"/>
        <w:rPr>
          <w:rFonts w:ascii="Asap-Regular" w:hAnsi="Asap-Regular" w:cs="Asap-Regular"/>
          <w:color w:val="262626"/>
          <w:sz w:val="25"/>
          <w:szCs w:val="25"/>
        </w:rPr>
      </w:pPr>
      <w:r>
        <w:rPr>
          <w:rFonts w:ascii="Asap-Regular" w:hAnsi="Asap-Regular" w:cs="Asap-Regular"/>
          <w:color w:val="262626"/>
          <w:sz w:val="25"/>
          <w:szCs w:val="25"/>
        </w:rPr>
        <w:t>Ce kit a pour objectif :</w:t>
      </w:r>
    </w:p>
    <w:p w:rsidR="00C219BB" w:rsidRDefault="00C219BB" w:rsidP="00C219B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sap-Regular" w:hAnsi="Asap-Regular" w:cs="Asap-Regular"/>
          <w:color w:val="262626"/>
          <w:sz w:val="25"/>
          <w:szCs w:val="25"/>
        </w:rPr>
      </w:pPr>
      <w:r>
        <w:rPr>
          <w:rFonts w:ascii="Asap-Regular" w:hAnsi="Asap-Regular" w:cs="Asap-Regular"/>
          <w:color w:val="262626"/>
          <w:kern w:val="1"/>
          <w:sz w:val="25"/>
          <w:szCs w:val="25"/>
        </w:rPr>
        <w:tab/>
      </w:r>
      <w:r>
        <w:rPr>
          <w:rFonts w:ascii="Asap-Regular" w:hAnsi="Asap-Regular" w:cs="Asap-Regular"/>
          <w:color w:val="262626"/>
          <w:kern w:val="1"/>
          <w:sz w:val="25"/>
          <w:szCs w:val="25"/>
        </w:rPr>
        <w:tab/>
      </w:r>
      <w:r>
        <w:rPr>
          <w:rFonts w:ascii="Asap-Regular" w:hAnsi="Asap-Regular" w:cs="Asap-Regular"/>
          <w:color w:val="262626"/>
          <w:sz w:val="25"/>
          <w:szCs w:val="25"/>
        </w:rPr>
        <w:t>D’aider les équipes opérationnelles à la mise en œuvre des actions d’amélioration de la performance de la chaîne de facturation-recouvrement ;</w:t>
      </w:r>
    </w:p>
    <w:p w:rsidR="00C219BB" w:rsidRDefault="00C219BB" w:rsidP="00C219B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sap-Regular" w:hAnsi="Asap-Regular" w:cs="Asap-Regular"/>
          <w:color w:val="262626"/>
          <w:sz w:val="25"/>
          <w:szCs w:val="25"/>
        </w:rPr>
      </w:pPr>
      <w:r>
        <w:rPr>
          <w:rFonts w:ascii="Asap-Regular" w:hAnsi="Asap-Regular" w:cs="Asap-Regular"/>
          <w:color w:val="262626"/>
          <w:kern w:val="1"/>
          <w:sz w:val="25"/>
          <w:szCs w:val="25"/>
        </w:rPr>
        <w:tab/>
      </w:r>
      <w:r>
        <w:rPr>
          <w:rFonts w:ascii="Asap-Regular" w:hAnsi="Asap-Regular" w:cs="Asap-Regular"/>
          <w:color w:val="262626"/>
          <w:kern w:val="1"/>
          <w:sz w:val="25"/>
          <w:szCs w:val="25"/>
        </w:rPr>
        <w:tab/>
      </w:r>
      <w:r>
        <w:rPr>
          <w:rFonts w:ascii="Asap-Regular" w:hAnsi="Asap-Regular" w:cs="Asap-Regular"/>
          <w:color w:val="262626"/>
          <w:sz w:val="25"/>
          <w:szCs w:val="25"/>
        </w:rPr>
        <w:t>De diffuser des bonnes pratiques organisationnelles identifiées dans le cadre des travaux de capitalisation.</w:t>
      </w:r>
    </w:p>
    <w:p w:rsidR="00C219BB" w:rsidRDefault="00C219BB" w:rsidP="00C219BB">
      <w:pPr>
        <w:widowControl w:val="0"/>
        <w:autoSpaceDE w:val="0"/>
        <w:autoSpaceDN w:val="0"/>
        <w:adjustRightInd w:val="0"/>
        <w:rPr>
          <w:rFonts w:ascii="Asap-Regular" w:hAnsi="Asap-Regular" w:cs="Asap-Regular"/>
          <w:color w:val="262626"/>
          <w:sz w:val="25"/>
          <w:szCs w:val="25"/>
        </w:rPr>
      </w:pPr>
      <w:r>
        <w:rPr>
          <w:rFonts w:ascii="Asap-Regular" w:hAnsi="Asap-Regular" w:cs="Asap-Regular"/>
          <w:color w:val="262626"/>
          <w:sz w:val="25"/>
          <w:szCs w:val="25"/>
        </w:rPr>
        <w:t>Il est constitué de 16 fiches pratiques. Chaque fiche pratique porte sur une action et est déclinée en démarche projet opérationnelle. Des exemples issus d’établissements sont fournis pour illustrer l’action.</w:t>
      </w:r>
    </w:p>
    <w:p w:rsidR="00C219BB" w:rsidRDefault="00C219BB" w:rsidP="00C219BB">
      <w:pPr>
        <w:widowControl w:val="0"/>
        <w:autoSpaceDE w:val="0"/>
        <w:autoSpaceDN w:val="0"/>
        <w:adjustRightInd w:val="0"/>
        <w:rPr>
          <w:rFonts w:ascii="Asap-Regular" w:hAnsi="Asap-Regular" w:cs="Asap-Regular"/>
          <w:color w:val="262626"/>
          <w:sz w:val="25"/>
          <w:szCs w:val="25"/>
        </w:rPr>
      </w:pPr>
      <w:r>
        <w:rPr>
          <w:rFonts w:ascii="Asap-Regular" w:hAnsi="Asap-Regular" w:cs="Asap-Regular"/>
          <w:color w:val="262626"/>
          <w:sz w:val="25"/>
          <w:szCs w:val="25"/>
        </w:rPr>
        <w:t>Le kit est organisé en 5 thèmes, suivant les étapes du processus de la chaîne de facturation-recouvrement (</w:t>
      </w:r>
      <w:proofErr w:type="spellStart"/>
      <w:r>
        <w:rPr>
          <w:rFonts w:ascii="Asap-Regular" w:hAnsi="Asap-Regular" w:cs="Asap-Regular"/>
          <w:color w:val="262626"/>
          <w:sz w:val="25"/>
          <w:szCs w:val="25"/>
        </w:rPr>
        <w:t>préadmission</w:t>
      </w:r>
      <w:proofErr w:type="spellEnd"/>
      <w:r>
        <w:rPr>
          <w:rFonts w:ascii="Asap-Regular" w:hAnsi="Asap-Regular" w:cs="Asap-Regular"/>
          <w:color w:val="262626"/>
          <w:sz w:val="25"/>
          <w:szCs w:val="25"/>
        </w:rPr>
        <w:t>, accueil, soins, sortie, facturation, encaissement/recouvrement, support transversal) :</w:t>
      </w:r>
    </w:p>
    <w:p w:rsidR="00C219BB" w:rsidRDefault="00C219BB" w:rsidP="00C219B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sap-Regular" w:hAnsi="Asap-Regular" w:cs="Asap-Regular"/>
          <w:color w:val="262626"/>
          <w:sz w:val="25"/>
          <w:szCs w:val="25"/>
        </w:rPr>
      </w:pPr>
      <w:r>
        <w:rPr>
          <w:rFonts w:ascii="Asap-Regular" w:hAnsi="Asap-Regular" w:cs="Asap-Regular"/>
          <w:color w:val="262626"/>
          <w:kern w:val="1"/>
          <w:sz w:val="25"/>
          <w:szCs w:val="25"/>
        </w:rPr>
        <w:tab/>
      </w:r>
      <w:r>
        <w:rPr>
          <w:rFonts w:ascii="Asap-Regular" w:hAnsi="Asap-Regular" w:cs="Asap-Regular"/>
          <w:color w:val="262626"/>
          <w:kern w:val="1"/>
          <w:sz w:val="25"/>
          <w:szCs w:val="25"/>
        </w:rPr>
        <w:tab/>
      </w:r>
      <w:r>
        <w:rPr>
          <w:rFonts w:ascii="Asap-Regular" w:hAnsi="Asap-Regular" w:cs="Asap-Regular"/>
          <w:color w:val="262626"/>
          <w:sz w:val="25"/>
          <w:szCs w:val="25"/>
        </w:rPr>
        <w:t>Thème 1 : Fiabiliser la qualité du recueil de l’information administrative</w:t>
      </w:r>
    </w:p>
    <w:p w:rsidR="00C219BB" w:rsidRDefault="00C219BB" w:rsidP="00C219B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sap-Regular" w:hAnsi="Asap-Regular" w:cs="Asap-Regular"/>
          <w:color w:val="262626"/>
          <w:sz w:val="25"/>
          <w:szCs w:val="25"/>
        </w:rPr>
      </w:pPr>
      <w:r>
        <w:rPr>
          <w:rFonts w:ascii="Asap-Regular" w:hAnsi="Asap-Regular" w:cs="Asap-Regular"/>
          <w:color w:val="262626"/>
          <w:kern w:val="1"/>
          <w:sz w:val="25"/>
          <w:szCs w:val="25"/>
        </w:rPr>
        <w:tab/>
      </w:r>
      <w:r>
        <w:rPr>
          <w:rFonts w:ascii="Asap-Regular" w:hAnsi="Asap-Regular" w:cs="Asap-Regular"/>
          <w:color w:val="262626"/>
          <w:kern w:val="1"/>
          <w:sz w:val="25"/>
          <w:szCs w:val="25"/>
        </w:rPr>
        <w:tab/>
      </w:r>
      <w:r>
        <w:rPr>
          <w:rFonts w:ascii="Asap-Regular" w:hAnsi="Asap-Regular" w:cs="Asap-Regular"/>
          <w:color w:val="262626"/>
          <w:sz w:val="25"/>
          <w:szCs w:val="25"/>
        </w:rPr>
        <w:t>Thème 2 : Maîtriser l’exhaustivité et la qualité des données d’activité</w:t>
      </w:r>
    </w:p>
    <w:p w:rsidR="00C219BB" w:rsidRDefault="00C219BB" w:rsidP="00C219B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sap-Regular" w:hAnsi="Asap-Regular" w:cs="Asap-Regular"/>
          <w:color w:val="262626"/>
          <w:sz w:val="25"/>
          <w:szCs w:val="25"/>
        </w:rPr>
      </w:pPr>
      <w:r>
        <w:rPr>
          <w:rFonts w:ascii="Asap-Regular" w:hAnsi="Asap-Regular" w:cs="Asap-Regular"/>
          <w:color w:val="262626"/>
          <w:kern w:val="1"/>
          <w:sz w:val="25"/>
          <w:szCs w:val="25"/>
        </w:rPr>
        <w:tab/>
      </w:r>
      <w:r>
        <w:rPr>
          <w:rFonts w:ascii="Asap-Regular" w:hAnsi="Asap-Regular" w:cs="Asap-Regular"/>
          <w:color w:val="262626"/>
          <w:kern w:val="1"/>
          <w:sz w:val="25"/>
          <w:szCs w:val="25"/>
        </w:rPr>
        <w:tab/>
      </w:r>
      <w:r>
        <w:rPr>
          <w:rFonts w:ascii="Asap-Regular" w:hAnsi="Asap-Regular" w:cs="Asap-Regular"/>
          <w:color w:val="262626"/>
          <w:sz w:val="25"/>
          <w:szCs w:val="25"/>
        </w:rPr>
        <w:t>Thème 3 : Sécuriser la facturation et le recouvrement</w:t>
      </w:r>
    </w:p>
    <w:p w:rsidR="00C219BB" w:rsidRDefault="00C219BB" w:rsidP="00C219B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sap-Regular" w:hAnsi="Asap-Regular" w:cs="Asap-Regular"/>
          <w:color w:val="262626"/>
          <w:sz w:val="25"/>
          <w:szCs w:val="25"/>
        </w:rPr>
      </w:pPr>
      <w:r>
        <w:rPr>
          <w:rFonts w:ascii="Asap-Regular" w:hAnsi="Asap-Regular" w:cs="Asap-Regular"/>
          <w:color w:val="262626"/>
          <w:kern w:val="1"/>
          <w:sz w:val="25"/>
          <w:szCs w:val="25"/>
        </w:rPr>
        <w:tab/>
      </w:r>
      <w:r>
        <w:rPr>
          <w:rFonts w:ascii="Asap-Regular" w:hAnsi="Asap-Regular" w:cs="Asap-Regular"/>
          <w:color w:val="262626"/>
          <w:kern w:val="1"/>
          <w:sz w:val="25"/>
          <w:szCs w:val="25"/>
        </w:rPr>
        <w:tab/>
      </w:r>
      <w:r>
        <w:rPr>
          <w:rFonts w:ascii="Asap-Regular" w:hAnsi="Asap-Regular" w:cs="Asap-Regular"/>
          <w:color w:val="262626"/>
          <w:sz w:val="25"/>
          <w:szCs w:val="25"/>
        </w:rPr>
        <w:t>Thème 4 : Fiabiliser le système d’information</w:t>
      </w:r>
    </w:p>
    <w:p w:rsidR="00C219BB" w:rsidRDefault="00C219BB" w:rsidP="00C219B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sap-Regular" w:hAnsi="Asap-Regular" w:cs="Asap-Regular"/>
          <w:color w:val="262626"/>
          <w:sz w:val="25"/>
          <w:szCs w:val="25"/>
        </w:rPr>
      </w:pPr>
      <w:r>
        <w:rPr>
          <w:rFonts w:ascii="Asap-Regular" w:hAnsi="Asap-Regular" w:cs="Asap-Regular"/>
          <w:color w:val="262626"/>
          <w:kern w:val="1"/>
          <w:sz w:val="25"/>
          <w:szCs w:val="25"/>
        </w:rPr>
        <w:tab/>
      </w:r>
      <w:r>
        <w:rPr>
          <w:rFonts w:ascii="Asap-Regular" w:hAnsi="Asap-Regular" w:cs="Asap-Regular"/>
          <w:color w:val="262626"/>
          <w:kern w:val="1"/>
          <w:sz w:val="25"/>
          <w:szCs w:val="25"/>
        </w:rPr>
        <w:tab/>
      </w:r>
      <w:r>
        <w:rPr>
          <w:rFonts w:ascii="Asap-Regular" w:hAnsi="Asap-Regular" w:cs="Asap-Regular"/>
          <w:color w:val="262626"/>
          <w:sz w:val="25"/>
          <w:szCs w:val="25"/>
        </w:rPr>
        <w:t>Thème 5 : Accompagner les acteurs au changement</w:t>
      </w:r>
    </w:p>
    <w:p w:rsidR="00C219BB" w:rsidRDefault="00C219BB" w:rsidP="00C219BB">
      <w:pPr>
        <w:widowControl w:val="0"/>
        <w:autoSpaceDE w:val="0"/>
        <w:autoSpaceDN w:val="0"/>
        <w:adjustRightInd w:val="0"/>
        <w:rPr>
          <w:rFonts w:ascii="Asap-Regular" w:hAnsi="Asap-Regular" w:cs="Asap-Regular"/>
          <w:color w:val="262626"/>
          <w:sz w:val="25"/>
          <w:szCs w:val="25"/>
        </w:rPr>
      </w:pPr>
      <w:r>
        <w:rPr>
          <w:rFonts w:ascii="Asap-Regular" w:hAnsi="Asap-Regular" w:cs="Asap-Regular"/>
          <w:color w:val="262626"/>
          <w:sz w:val="25"/>
          <w:szCs w:val="25"/>
        </w:rPr>
        <w:t>Il permet aux professionnels de disposer de supports pratiques pour la mise en œuvre concrète des plans d’action. </w:t>
      </w:r>
    </w:p>
    <w:p w:rsidR="00C219BB" w:rsidRDefault="00C219BB" w:rsidP="00C219BB">
      <w:pPr>
        <w:widowControl w:val="0"/>
        <w:autoSpaceDE w:val="0"/>
        <w:autoSpaceDN w:val="0"/>
        <w:adjustRightInd w:val="0"/>
        <w:rPr>
          <w:rFonts w:ascii="Asap-BoldItalic" w:hAnsi="Asap-BoldItalic" w:cs="Asap-BoldItalic"/>
          <w:b/>
          <w:bCs/>
          <w:i/>
          <w:iCs/>
          <w:color w:val="262626"/>
          <w:sz w:val="34"/>
          <w:szCs w:val="34"/>
        </w:rPr>
      </w:pPr>
      <w:r>
        <w:rPr>
          <w:rFonts w:ascii="Asap-BoldItalic" w:hAnsi="Asap-BoldItalic" w:cs="Asap-BoldItalic"/>
          <w:b/>
          <w:bCs/>
          <w:i/>
          <w:iCs/>
          <w:color w:val="262626"/>
          <w:sz w:val="34"/>
          <w:szCs w:val="34"/>
        </w:rPr>
        <w:t>A qui s’adresse le kit ?</w:t>
      </w:r>
    </w:p>
    <w:p w:rsidR="00C219BB" w:rsidRPr="00C219BB" w:rsidRDefault="00C219BB" w:rsidP="00C219BB">
      <w:r>
        <w:rPr>
          <w:rFonts w:ascii="Asap-Regular" w:hAnsi="Asap-Regular" w:cs="Asap-Regular"/>
          <w:color w:val="262626"/>
          <w:sz w:val="25"/>
          <w:szCs w:val="25"/>
        </w:rPr>
        <w:t>Ce kit s’adresse aux responsables clientèles de la chaine d’admission-facturation-recouvrement et aux équipes opérationnelles (entre autres les gestionnaires clientèles, les assistants médico-administratifs, les cadres de proximité).</w:t>
      </w:r>
      <w:bookmarkStart w:id="0" w:name="_GoBack"/>
      <w:bookmarkEnd w:id="0"/>
    </w:p>
    <w:sectPr w:rsidR="00C219BB" w:rsidRPr="00C219BB" w:rsidSect="00ED6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sap-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sap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BB"/>
    <w:rsid w:val="00A64C80"/>
    <w:rsid w:val="00C219BB"/>
    <w:rsid w:val="00E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7C3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19B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9B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19B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9B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1264</Characters>
  <Application>Microsoft Macintosh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ACQUIER</dc:creator>
  <cp:keywords/>
  <dc:description/>
  <cp:lastModifiedBy>Thierry ACQUIER</cp:lastModifiedBy>
  <cp:revision>1</cp:revision>
  <dcterms:created xsi:type="dcterms:W3CDTF">2016-11-10T15:18:00Z</dcterms:created>
  <dcterms:modified xsi:type="dcterms:W3CDTF">2016-11-10T15:19:00Z</dcterms:modified>
</cp:coreProperties>
</file>